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  <w:lang w:val="en-US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-388620</wp:posOffset>
                </wp:positionH>
                <wp:positionV relativeFrom="paragraph">
                  <wp:posOffset>109220</wp:posOffset>
                </wp:positionV>
                <wp:extent cx="6054725" cy="4546600"/>
                <wp:effectExtent l="6350" t="6350" r="15875" b="19050"/>
                <wp:wrapNone/>
                <wp:docPr id="1" name="Round Diagonal Corner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857250" y="1023620"/>
                          <a:ext cx="6054725" cy="4546600"/>
                        </a:xfrm>
                        <a:prstGeom prst="round2Diag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-30.6pt;margin-top:8.6pt;height:358pt;width:476.75pt;z-index:251658240;v-text-anchor:middle;mso-width-relative:page;mso-height-relative:page;" filled="f" stroked="t" coordsize="6054725,4546600" o:gfxdata="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D6&#10;LwJU1gAAAAoBAAAPAAAAAAAAAAEAIAAAACIAAABkcnMvZG93bnJldi54bWxQSwECFAAUAAAACACH&#10;TuJAN4JZQl8CAACsBAAADgAAAAAAAAABACAAAAAlAQAAZHJzL2Uyb0RvYy54bWxQSwUGAAAAAAYA&#10;BgBZAQAA9gUAAAAA&#10;" path="m757781,0l6054725,0,6054725,0,6054725,3788818c6054725,4207329,5715455,4546599,5296944,4546599l0,4546600,0,4546600,0,757781c0,339270,339270,0,757781,0xe">
                <v:path o:connectlocs="6054725,2273300;3027362,4546600;0,2273300;3027362,0" o:connectangles="0,82,164,247"/>
                <v:fill on="f" focussize="0,0"/>
                <v:stroke weight="1pt" color="#000000 [3213]" miterlimit="8" joinstyle="miter"/>
                <v:imagedata o:title=""/>
                <o:lock v:ext="edit" aspectratio="f"/>
              </v:shape>
            </w:pict>
          </mc:Fallback>
        </mc:AlternateContent>
      </w:r>
    </w:p>
    <w:p>
      <w:pPr>
        <w:jc w:val="center"/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  <w:t>Veerashaiva Sahakari Bank Ltd.,</w:t>
      </w:r>
    </w:p>
    <w:p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>No.1732/32, M.C.Road, M.C.Layout, Vijayanagar, Bengaluru-560040</w:t>
      </w:r>
    </w:p>
    <w:p>
      <w:pPr>
        <w:rPr>
          <w:b/>
          <w:bCs/>
        </w:rPr>
      </w:pPr>
    </w:p>
    <w:p>
      <w:pPr>
        <w:rPr>
          <w:lang w:val="en-US"/>
        </w:rPr>
      </w:pPr>
    </w:p>
    <w:p>
      <w:pPr>
        <w:jc w:val="center"/>
        <w:rPr>
          <w:rFonts w:ascii="Arial" w:hAnsi="Arial" w:cs="Arial"/>
          <w:b/>
          <w:sz w:val="28"/>
          <w:szCs w:val="28"/>
          <w:lang w:val="en-US"/>
        </w:rPr>
      </w:pPr>
      <w:r>
        <w:rPr>
          <w:rFonts w:ascii="Arial" w:hAnsi="Arial" w:cs="Arial"/>
          <w:b/>
          <w:sz w:val="28"/>
          <w:szCs w:val="28"/>
        </w:rPr>
        <w:t>Rate of Interest on Deposits</w:t>
      </w:r>
      <w:r>
        <w:rPr>
          <w:rFonts w:ascii="Arial" w:hAnsi="Arial" w:cs="Arial"/>
          <w:b/>
          <w:sz w:val="28"/>
          <w:szCs w:val="28"/>
          <w:lang w:val="en-US"/>
        </w:rPr>
        <w:t xml:space="preserve"> As on 0</w:t>
      </w:r>
      <w:r>
        <w:rPr>
          <w:rFonts w:ascii="Arial" w:hAnsi="Arial" w:cs="Arial"/>
          <w:b/>
          <w:sz w:val="28"/>
          <w:szCs w:val="28"/>
          <w:lang w:val="en-GB"/>
        </w:rPr>
        <w:t>9</w:t>
      </w:r>
      <w:bookmarkStart w:id="0" w:name="_GoBack"/>
      <w:bookmarkEnd w:id="0"/>
      <w:r>
        <w:rPr>
          <w:rFonts w:ascii="Arial" w:hAnsi="Arial" w:cs="Arial"/>
          <w:b/>
          <w:sz w:val="28"/>
          <w:szCs w:val="28"/>
          <w:lang w:val="en-US"/>
        </w:rPr>
        <w:t>-10-2026</w:t>
      </w:r>
    </w:p>
    <w:p>
      <w:pPr>
        <w:jc w:val="both"/>
        <w:rPr>
          <w:rFonts w:ascii="Arial" w:hAnsi="Arial" w:cs="Arial"/>
          <w:b/>
          <w:sz w:val="28"/>
          <w:szCs w:val="28"/>
          <w:lang w:val="en-US"/>
        </w:rPr>
      </w:pPr>
    </w:p>
    <w:tbl>
      <w:tblPr>
        <w:tblStyle w:val="3"/>
        <w:tblW w:w="8278" w:type="dxa"/>
        <w:jc w:val="center"/>
        <w:tblInd w:w="11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4"/>
        <w:gridCol w:w="2409"/>
        <w:gridCol w:w="25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14" w:type="dxa"/>
          </w:tcPr>
          <w:p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Tenure</w:t>
            </w:r>
          </w:p>
        </w:tc>
        <w:tc>
          <w:tcPr>
            <w:tcW w:w="2409" w:type="dxa"/>
          </w:tcPr>
          <w:p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Interest Rate (p.a)</w:t>
            </w:r>
          </w:p>
        </w:tc>
        <w:tc>
          <w:tcPr>
            <w:tcW w:w="2555" w:type="dxa"/>
            <w:vMerge w:val="restart"/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Above Six Months </w:t>
            </w:r>
          </w:p>
          <w:p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deposits -</w:t>
            </w: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sz w:val="21"/>
                <w:szCs w:val="21"/>
              </w:rPr>
              <w:t>Extra 0.50% for</w:t>
            </w: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sz w:val="21"/>
                <w:szCs w:val="21"/>
              </w:rPr>
              <w:t>Senior Citizens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14" w:type="dxa"/>
          </w:tcPr>
          <w:p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15 days to 30 days</w:t>
            </w:r>
          </w:p>
        </w:tc>
        <w:tc>
          <w:tcPr>
            <w:tcW w:w="2409" w:type="dxa"/>
          </w:tcPr>
          <w:p>
            <w:pPr>
              <w:pStyle w:val="4"/>
              <w:ind w:left="0" w:right="-14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3.75 %</w:t>
            </w:r>
          </w:p>
        </w:tc>
        <w:tc>
          <w:tcPr>
            <w:tcW w:w="2555" w:type="dxa"/>
            <w:vMerge w:val="continue"/>
          </w:tcPr>
          <w:p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14" w:type="dxa"/>
          </w:tcPr>
          <w:p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31 days to 45 days</w:t>
            </w:r>
          </w:p>
        </w:tc>
        <w:tc>
          <w:tcPr>
            <w:tcW w:w="2409" w:type="dxa"/>
          </w:tcPr>
          <w:p>
            <w:pPr>
              <w:pStyle w:val="4"/>
              <w:ind w:left="0" w:right="-14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4.25 %</w:t>
            </w:r>
          </w:p>
        </w:tc>
        <w:tc>
          <w:tcPr>
            <w:tcW w:w="2555" w:type="dxa"/>
            <w:vMerge w:val="continue"/>
          </w:tcPr>
          <w:p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14" w:type="dxa"/>
          </w:tcPr>
          <w:p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46 days to 90 days</w:t>
            </w:r>
          </w:p>
        </w:tc>
        <w:tc>
          <w:tcPr>
            <w:tcW w:w="2409" w:type="dxa"/>
          </w:tcPr>
          <w:p>
            <w:pPr>
              <w:pStyle w:val="4"/>
              <w:ind w:left="0" w:right="-14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4.50 %</w:t>
            </w:r>
          </w:p>
        </w:tc>
        <w:tc>
          <w:tcPr>
            <w:tcW w:w="2555" w:type="dxa"/>
            <w:vMerge w:val="continue"/>
          </w:tcPr>
          <w:p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14" w:type="dxa"/>
          </w:tcPr>
          <w:p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91 days to 180 days</w:t>
            </w:r>
          </w:p>
        </w:tc>
        <w:tc>
          <w:tcPr>
            <w:tcW w:w="2409" w:type="dxa"/>
          </w:tcPr>
          <w:p>
            <w:pPr>
              <w:pStyle w:val="4"/>
              <w:ind w:left="0" w:right="-14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5.25 %</w:t>
            </w:r>
          </w:p>
        </w:tc>
        <w:tc>
          <w:tcPr>
            <w:tcW w:w="2555" w:type="dxa"/>
            <w:vMerge w:val="continue"/>
          </w:tcPr>
          <w:p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14" w:type="dxa"/>
          </w:tcPr>
          <w:p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181 days to 1 year</w:t>
            </w:r>
          </w:p>
        </w:tc>
        <w:tc>
          <w:tcPr>
            <w:tcW w:w="2409" w:type="dxa"/>
          </w:tcPr>
          <w:p>
            <w:pPr>
              <w:pStyle w:val="4"/>
              <w:ind w:left="0" w:right="-14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6.00 %</w:t>
            </w:r>
          </w:p>
        </w:tc>
        <w:tc>
          <w:tcPr>
            <w:tcW w:w="2555" w:type="dxa"/>
            <w:vMerge w:val="continue"/>
          </w:tcPr>
          <w:p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" w:hRule="atLeast"/>
          <w:jc w:val="center"/>
        </w:trPr>
        <w:tc>
          <w:tcPr>
            <w:tcW w:w="3314" w:type="dxa"/>
          </w:tcPr>
          <w:p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Above 1 years &amp; upto 2 years</w:t>
            </w:r>
          </w:p>
        </w:tc>
        <w:tc>
          <w:tcPr>
            <w:tcW w:w="2409" w:type="dxa"/>
          </w:tcPr>
          <w:p>
            <w:pPr>
              <w:pStyle w:val="4"/>
              <w:ind w:left="0" w:right="-14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7.</w:t>
            </w:r>
            <w:r>
              <w:rPr>
                <w:rFonts w:ascii="Arial" w:hAnsi="Arial" w:cs="Arial"/>
                <w:sz w:val="21"/>
                <w:szCs w:val="21"/>
                <w:lang w:val="en-US"/>
              </w:rPr>
              <w:t>00</w:t>
            </w:r>
            <w:r>
              <w:rPr>
                <w:rFonts w:ascii="Arial" w:hAnsi="Arial" w:cs="Arial"/>
                <w:sz w:val="21"/>
                <w:szCs w:val="21"/>
              </w:rPr>
              <w:t xml:space="preserve"> %</w:t>
            </w:r>
          </w:p>
        </w:tc>
        <w:tc>
          <w:tcPr>
            <w:tcW w:w="2555" w:type="dxa"/>
            <w:vMerge w:val="continue"/>
          </w:tcPr>
          <w:p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14" w:type="dxa"/>
          </w:tcPr>
          <w:p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Above 2 years &amp; upto 3 years</w:t>
            </w:r>
          </w:p>
        </w:tc>
        <w:tc>
          <w:tcPr>
            <w:tcW w:w="2409" w:type="dxa"/>
          </w:tcPr>
          <w:p>
            <w:pPr>
              <w:pStyle w:val="4"/>
              <w:ind w:left="0" w:right="-14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7.</w:t>
            </w:r>
            <w:r>
              <w:rPr>
                <w:rFonts w:ascii="Arial" w:hAnsi="Arial" w:cs="Arial"/>
                <w:sz w:val="21"/>
                <w:szCs w:val="21"/>
                <w:lang w:val="en-US"/>
              </w:rPr>
              <w:t>10</w:t>
            </w:r>
            <w:r>
              <w:rPr>
                <w:rFonts w:ascii="Arial" w:hAnsi="Arial" w:cs="Arial"/>
                <w:sz w:val="21"/>
                <w:szCs w:val="21"/>
              </w:rPr>
              <w:t xml:space="preserve"> %</w:t>
            </w:r>
          </w:p>
        </w:tc>
        <w:tc>
          <w:tcPr>
            <w:tcW w:w="2555" w:type="dxa"/>
            <w:vMerge w:val="continue"/>
          </w:tcPr>
          <w:p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" w:hRule="atLeast"/>
          <w:jc w:val="center"/>
        </w:trPr>
        <w:tc>
          <w:tcPr>
            <w:tcW w:w="3314" w:type="dxa"/>
          </w:tcPr>
          <w:p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Above 3 years &amp; upto 5 years</w:t>
            </w:r>
          </w:p>
        </w:tc>
        <w:tc>
          <w:tcPr>
            <w:tcW w:w="2409" w:type="dxa"/>
          </w:tcPr>
          <w:p>
            <w:pPr>
              <w:pStyle w:val="4"/>
              <w:ind w:left="0" w:right="-14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7.00 %</w:t>
            </w:r>
          </w:p>
        </w:tc>
        <w:tc>
          <w:tcPr>
            <w:tcW w:w="2555" w:type="dxa"/>
            <w:vMerge w:val="continue"/>
          </w:tcPr>
          <w:p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" w:hRule="atLeast"/>
          <w:jc w:val="center"/>
        </w:trPr>
        <w:tc>
          <w:tcPr>
            <w:tcW w:w="3314" w:type="dxa"/>
          </w:tcPr>
          <w:p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Above 5 years</w:t>
            </w:r>
          </w:p>
        </w:tc>
        <w:tc>
          <w:tcPr>
            <w:tcW w:w="2409" w:type="dxa"/>
          </w:tcPr>
          <w:p>
            <w:pPr>
              <w:pStyle w:val="4"/>
              <w:ind w:left="0" w:right="-14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6.90 %</w:t>
            </w:r>
          </w:p>
        </w:tc>
        <w:tc>
          <w:tcPr>
            <w:tcW w:w="2555" w:type="dxa"/>
            <w:vMerge w:val="continue"/>
          </w:tcPr>
          <w:p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>
      <w:pPr>
        <w:rPr>
          <w:rFonts w:ascii="Arial" w:hAnsi="Arial" w:cs="Arial"/>
          <w:b/>
          <w:sz w:val="21"/>
          <w:szCs w:val="21"/>
        </w:rPr>
      </w:pPr>
    </w:p>
    <w:p>
      <w:pPr>
        <w:rPr>
          <w:rFonts w:ascii="Arial" w:hAnsi="Arial" w:cs="Arial"/>
          <w:b/>
          <w:sz w:val="21"/>
          <w:szCs w:val="21"/>
        </w:rPr>
      </w:pPr>
    </w:p>
    <w:p>
      <w:pPr>
        <w:ind w:firstLine="140" w:firstLineChars="50"/>
        <w:jc w:val="center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8"/>
          <w:szCs w:val="28"/>
        </w:rPr>
        <w:t>T</w:t>
      </w:r>
      <w:r>
        <w:rPr>
          <w:rFonts w:ascii="Arial" w:hAnsi="Arial" w:cs="Arial"/>
          <w:b/>
          <w:sz w:val="24"/>
          <w:szCs w:val="24"/>
        </w:rPr>
        <w:t>erm Deposits</w:t>
      </w:r>
    </w:p>
    <w:tbl>
      <w:tblPr>
        <w:tblStyle w:val="3"/>
        <w:tblW w:w="8097" w:type="dxa"/>
        <w:jc w:val="center"/>
        <w:tblInd w:w="7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0"/>
        <w:gridCol w:w="1232"/>
        <w:gridCol w:w="25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60" w:type="dxa"/>
          </w:tcPr>
          <w:p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 year and above upto 3 years</w:t>
            </w:r>
          </w:p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Rs.15.00 Lakhs &amp; above for all Deposits</w:t>
            </w:r>
          </w:p>
        </w:tc>
        <w:tc>
          <w:tcPr>
            <w:tcW w:w="1232" w:type="dxa"/>
          </w:tcPr>
          <w:p>
            <w:pPr>
              <w:pStyle w:val="4"/>
              <w:ind w:left="0" w:right="-1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>
            <w:pPr>
              <w:pStyle w:val="4"/>
              <w:ind w:left="0" w:right="-1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7.25 %</w:t>
            </w:r>
          </w:p>
        </w:tc>
        <w:tc>
          <w:tcPr>
            <w:tcW w:w="2505" w:type="dxa"/>
            <w:vMerge w:val="restart"/>
            <w:vAlign w:val="center"/>
          </w:tcPr>
          <w:p>
            <w:pPr>
              <w:spacing w:line="28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Extra Rate of Interest 0.50% for</w:t>
            </w:r>
          </w:p>
          <w:p>
            <w:pPr>
              <w:pStyle w:val="4"/>
              <w:ind w:left="0" w:right="-1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Senior Citizens is not applicable for this Bulk Deposits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60" w:type="dxa"/>
          </w:tcPr>
          <w:p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 year and above upto 3 years</w:t>
            </w:r>
          </w:p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Rs.25.00 Lakhs &amp; above for all Deposits</w:t>
            </w:r>
          </w:p>
        </w:tc>
        <w:tc>
          <w:tcPr>
            <w:tcW w:w="1232" w:type="dxa"/>
          </w:tcPr>
          <w:p>
            <w:pPr>
              <w:pStyle w:val="4"/>
              <w:ind w:left="0" w:right="-14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pStyle w:val="4"/>
              <w:ind w:left="0" w:right="-1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7.50 %</w:t>
            </w:r>
          </w:p>
        </w:tc>
        <w:tc>
          <w:tcPr>
            <w:tcW w:w="2505" w:type="dxa"/>
            <w:vMerge w:val="continue"/>
          </w:tcPr>
          <w:p>
            <w:pPr>
              <w:pStyle w:val="4"/>
              <w:ind w:left="0" w:right="-1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>
      <w:pPr>
        <w:rPr>
          <w:rFonts w:ascii="Arial" w:hAnsi="Arial" w:cs="Arial"/>
          <w:b/>
          <w:sz w:val="16"/>
          <w:szCs w:val="22"/>
        </w:rPr>
      </w:pPr>
    </w:p>
    <w:p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455471"/>
    <w:rsid w:val="1AB10347"/>
    <w:rsid w:val="2B455471"/>
    <w:rsid w:val="455935A6"/>
    <w:rsid w:val="533078D3"/>
    <w:rsid w:val="5F906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AU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  <w:rPr>
      <w:lang w:val="en-GB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147</Words>
  <Characters>600</Characters>
  <Lines>0</Lines>
  <Paragraphs>0</Paragraphs>
  <TotalTime>16</TotalTime>
  <ScaleCrop>false</ScaleCrop>
  <LinksUpToDate>false</LinksUpToDate>
  <CharactersWithSpaces>716</CharactersWithSpaces>
  <Application>WPS Office_10.2.0.7635_F1E327BC-269C-435d-A152-05C5408002CA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2026-10-01T04:40:00Z</dcterms:created>
  <dc:creator>bharathi</dc:creator>
  <cp:lastModifiedBy>Mohith</cp:lastModifiedBy>
  <dcterms:modified xsi:type="dcterms:W3CDTF">2026-10-09T03:55:04Z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1033-10.2.0.7635</vt:lpwstr>
  </property>
</Properties>
</file>